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EF4BE4" w14:textId="77777777" w:rsidR="008A4AFF" w:rsidRDefault="00614C3D">
      <w:pPr>
        <w:spacing w:after="40"/>
        <w:jc w:val="right"/>
      </w:pPr>
      <w:r>
        <w:rPr>
          <w:b/>
          <w:bCs/>
        </w:rPr>
        <w:t>Laura Millar, MPH, M.A., MCHES</w:t>
      </w:r>
    </w:p>
    <w:p w14:paraId="403F5427" w14:textId="77777777" w:rsidR="008A4AFF" w:rsidRDefault="00614C3D">
      <w:pPr>
        <w:spacing w:after="40"/>
        <w:jc w:val="right"/>
      </w:pPr>
      <w:r>
        <w:rPr>
          <w:sz w:val="20"/>
          <w:szCs w:val="20"/>
        </w:rPr>
        <w:t>Oakland, California</w:t>
      </w:r>
    </w:p>
    <w:p w14:paraId="588C2C57" w14:textId="77777777" w:rsidR="008A4AFF" w:rsidRDefault="00614C3D">
      <w:pPr>
        <w:spacing w:after="40"/>
        <w:jc w:val="right"/>
      </w:pPr>
      <w:r>
        <w:rPr>
          <w:sz w:val="20"/>
          <w:szCs w:val="20"/>
        </w:rPr>
        <w:t>laura@lauramillar.com</w:t>
      </w:r>
    </w:p>
    <w:p w14:paraId="148DED16" w14:textId="77777777" w:rsidR="008A4AFF" w:rsidRDefault="00614C3D">
      <w:pPr>
        <w:spacing w:after="40"/>
        <w:jc w:val="right"/>
      </w:pPr>
      <w:r>
        <w:rPr>
          <w:sz w:val="20"/>
          <w:szCs w:val="20"/>
        </w:rPr>
        <w:t>www.lauramillar.com</w:t>
      </w:r>
    </w:p>
    <w:p w14:paraId="23CD128D" w14:textId="77777777" w:rsidR="008A4AFF" w:rsidRDefault="008A4AFF"/>
    <w:p w14:paraId="0D4D6F7C" w14:textId="77777777" w:rsidR="008A4AFF" w:rsidRDefault="00614C3D">
      <w:r>
        <w:t>May 21, 2026</w:t>
      </w:r>
    </w:p>
    <w:p w14:paraId="6EBAADBA" w14:textId="77777777" w:rsidR="008A4AFF" w:rsidRDefault="008A4AFF"/>
    <w:p w14:paraId="0AA7B5EE" w14:textId="77777777" w:rsidR="008A4AFF" w:rsidRDefault="00614C3D">
      <w:r>
        <w:t>The Honorable Robert F. Kennedy Jr.</w:t>
      </w:r>
    </w:p>
    <w:p w14:paraId="5EFB1A97" w14:textId="77777777" w:rsidR="008A4AFF" w:rsidRDefault="00614C3D">
      <w:r>
        <w:t>Secretary</w:t>
      </w:r>
    </w:p>
    <w:p w14:paraId="6237F65C" w14:textId="77777777" w:rsidR="008A4AFF" w:rsidRDefault="00614C3D">
      <w:r>
        <w:t>U.S. Department of Health and Human Services</w:t>
      </w:r>
    </w:p>
    <w:p w14:paraId="17F309A8" w14:textId="77777777" w:rsidR="008A4AFF" w:rsidRDefault="00614C3D">
      <w:r>
        <w:t>200 Independence Avenue SW</w:t>
      </w:r>
    </w:p>
    <w:p w14:paraId="61C62A87" w14:textId="77777777" w:rsidR="008A4AFF" w:rsidRDefault="00614C3D">
      <w:r>
        <w:t>Washington, DC 20201</w:t>
      </w:r>
    </w:p>
    <w:p w14:paraId="0A5A553D" w14:textId="77777777" w:rsidR="008A4AFF" w:rsidRDefault="008A4AFF"/>
    <w:p w14:paraId="4684B09E" w14:textId="77777777" w:rsidR="008A4AFF" w:rsidRDefault="00614C3D">
      <w:pPr>
        <w:spacing w:after="200" w:line="276" w:lineRule="auto"/>
      </w:pPr>
      <w:r>
        <w:rPr>
          <w:b/>
          <w:bCs/>
        </w:rPr>
        <w:t xml:space="preserve">Re: </w:t>
      </w:r>
      <w:r>
        <w:t>Public comment on RIN 0945-AA30, Docket No. HHS-OCR-2026-0133 — Extension of Compliance Dates for Section 504 Web and Mobile Accessibility</w:t>
      </w:r>
    </w:p>
    <w:p w14:paraId="6B7884B9" w14:textId="77777777" w:rsidR="008A4AFF" w:rsidRDefault="00614C3D">
      <w:pPr>
        <w:spacing w:after="200" w:line="276" w:lineRule="auto"/>
      </w:pPr>
      <w:r>
        <w:t>Dear Secretary Kennedy,</w:t>
      </w:r>
    </w:p>
    <w:p w14:paraId="0988998F" w14:textId="77777777" w:rsidR="008A4AFF" w:rsidRDefault="00614C3D">
      <w:pPr>
        <w:spacing w:after="200" w:line="276" w:lineRule="auto"/>
      </w:pPr>
      <w:r>
        <w:t>I am writing in response to the Department of Health and Human Services interim final rule extending the Section 504 compliance deadlines for accessible web content and mobile applications. I submit this letter as a public comment and as a request that HHS reconsider this delay.</w:t>
      </w:r>
    </w:p>
    <w:p w14:paraId="5877A916" w14:textId="77777777" w:rsidR="008A4AFF" w:rsidRDefault="00614C3D">
      <w:pPr>
        <w:spacing w:after="200" w:line="276" w:lineRule="auto"/>
      </w:pPr>
      <w:r>
        <w:t>President Mark Riccobono and the National Federation of the Blind have already made the civil rights and enforcement case against delaying these long-awaited accessibility protections. I am building on that leadership by naming the public health issue: when accessibility is delayed, the burden does not disappear. It is transferred onto blind and disabled people.</w:t>
      </w:r>
    </w:p>
    <w:p w14:paraId="019E9C4B" w14:textId="77777777" w:rsidR="008A4AFF" w:rsidRDefault="00614C3D">
      <w:pPr>
        <w:pBdr>
          <w:top w:val="single" w:sz="6" w:space="8" w:color="555555"/>
          <w:bottom w:val="single" w:sz="6" w:space="8" w:color="555555"/>
        </w:pBdr>
        <w:spacing w:before="240" w:after="240"/>
        <w:jc w:val="center"/>
      </w:pPr>
      <w:r>
        <w:rPr>
          <w:b/>
          <w:bCs/>
          <w:i/>
          <w:iCs/>
          <w:sz w:val="26"/>
          <w:szCs w:val="26"/>
        </w:rPr>
        <w:t>Blindness itself is not the public health crisis. Ableism is.</w:t>
      </w:r>
    </w:p>
    <w:p w14:paraId="3CDEA0EB" w14:textId="77777777" w:rsidR="008A4AFF" w:rsidRDefault="00614C3D">
      <w:pPr>
        <w:spacing w:after="200" w:line="276" w:lineRule="auto"/>
      </w:pPr>
      <w:r>
        <w:t>I am writing with all of my hats on. I am Laura Millar, MPH, M.A., MCHES: a blind, neurodivergent, single mother navigating multiple chronic illnesses while raising a disabled child. We both see specialists, so I know healthcare systems as a patient, as a parent, and as a public health professional. I also write as a sociologist, sexuality educator, consultant, coach, community organizer, advocate, Second Vice President of the National Federation of the Blind of San Francisco Chapter, and board member of th</w:t>
      </w:r>
      <w:r>
        <w:t>e National Federation of the Blind of California.</w:t>
      </w:r>
    </w:p>
    <w:p w14:paraId="43D02FA3" w14:textId="77777777" w:rsidR="008A4AFF" w:rsidRDefault="00614C3D">
      <w:pPr>
        <w:spacing w:after="200" w:line="276" w:lineRule="auto"/>
      </w:pPr>
      <w:r>
        <w:t>Those roles are not separate here. As a public health professional, I understand that health outcomes are shaped long before a person enters an exam room. Transportation, information access, privacy, discrimination, communication, trust, and emergency preparedness all shape health. As a blind person, I know what it means to move through systems built around sight as the default. As a patient and parent, I know the time it takes to arrange transportation, track referrals, decode inaccessible forms, understan</w:t>
      </w:r>
      <w:r>
        <w:t>d test results, schedule specialists, manage portals, and protect privacy in systems that were not built for independent blind access. As someone whose work includes consent culture and health education, I understand that access is about autonomy, bodily consent, privacy, and agency.</w:t>
      </w:r>
    </w:p>
    <w:p w14:paraId="24C06479" w14:textId="77777777" w:rsidR="008A4AFF" w:rsidRDefault="00614C3D">
      <w:pPr>
        <w:spacing w:after="200" w:line="276" w:lineRule="auto"/>
      </w:pPr>
      <w:r>
        <w:t>When I first went blind more than twenty years ago, I thought blindness was the issue. The organized blind movement and the National Federation of the Blind taught me otherwise: blindness was not the issue. Ableism was. Public health is the field I love, and it gave me the systems language to name what the movement had already shown me. It gave me language for root causes, prevention, social determinants of health, health literacy, structural barriers, and systems change. Both lenses point to the same truth</w:t>
      </w:r>
      <w:r>
        <w:t>. The deepest barriers are external. They are built into systems that assume everyone sees, clicks, prints, scans, visually verifies, or visually monitors information.</w:t>
      </w:r>
    </w:p>
    <w:p w14:paraId="03DB2AC9" w14:textId="77777777" w:rsidR="008A4AFF" w:rsidRDefault="00614C3D">
      <w:pPr>
        <w:spacing w:after="200" w:line="276" w:lineRule="auto"/>
      </w:pPr>
      <w:r>
        <w:t>Accessibility belongs at the center of public health because digital access now shapes transportation planning, healthcare navigation, benefits access, privacy, emergency preparedness, family caregiving, economic stability, and the ability to participate in decisions about one's own body. These are social determinants of health, not side issues.</w:t>
      </w:r>
    </w:p>
    <w:p w14:paraId="0A0516AC" w14:textId="77777777" w:rsidR="008A4AFF" w:rsidRDefault="00614C3D">
      <w:pPr>
        <w:spacing w:after="200" w:line="276" w:lineRule="auto"/>
      </w:pPr>
      <w:r>
        <w:t>There is also a hidden cost. Repeatedly being blocked, doubted, rerouted, or forced to disclose private information creates cumulative stress. Public health and sociology already recognize that chronic stress from discrimination and exclusion can contribute to mental and physical health burdens over time. For blind and disabled people, inaccessible systems are part of that stress exposure, and that exposure compounds the chronic disease burden you have repeatedly identified as a national priority.</w:t>
      </w:r>
    </w:p>
    <w:p w14:paraId="00437A10" w14:textId="77777777" w:rsidR="008A4AFF" w:rsidRDefault="00614C3D">
      <w:pPr>
        <w:spacing w:after="200" w:line="276" w:lineRule="auto"/>
      </w:pPr>
      <w:r>
        <w:t>Emergency information shows the stakes most clearly. During COVID-19, testing information, vaccine appointments, exposure guidance, dashboards, and public health updates often moved through digital systems that were not reliably accessible. During California wildfire seasons, smoke conditions, power shutoffs, evacuation alerts, air-quality data, shelter information, and transportation options can determine safety. When that information is inaccessible, risk is created by the system, not by blindness.</w:t>
      </w:r>
    </w:p>
    <w:p w14:paraId="37AE666B" w14:textId="77777777" w:rsidR="008A4AFF" w:rsidRDefault="00614C3D">
      <w:pPr>
        <w:spacing w:after="200" w:line="276" w:lineRule="auto"/>
      </w:pPr>
      <w:r>
        <w:t>Blind people are often described as a vulnerable population. I want to be precise: we are not vulnerable because we are blind. We are made vulnerable when health, safety, and emergency information is not accessible. Vulnerability is produced when public systems fail to provide the information people need to make decisions, protect their health, and act in time.</w:t>
      </w:r>
    </w:p>
    <w:p w14:paraId="389BEFF7" w14:textId="77777777" w:rsidR="008A4AFF" w:rsidRDefault="00614C3D">
      <w:pPr>
        <w:spacing w:after="200" w:line="276" w:lineRule="auto"/>
      </w:pPr>
      <w:r>
        <w:t>That is why the Section 504 delay matters. Digital access is now the front door to healthcare and human services. An inaccessible patient portal can delay follow-up care, medication management, appointment scheduling, test result review, informed consent, benefits access, and private communication with a provider. These are not conveniences. They are core parts of healthcare. When a blind patient cannot independently read a consent form, a medication label, a lab result, or a treatment option, consent is no</w:t>
      </w:r>
      <w:r>
        <w:t>t informed. It is constructed around them by people who can see, which is precisely the dynamic informed consent is supposed to prevent.</w:t>
      </w:r>
    </w:p>
    <w:p w14:paraId="51519778" w14:textId="77777777" w:rsidR="008A4AFF" w:rsidRDefault="00614C3D">
      <w:pPr>
        <w:spacing w:after="200" w:line="276" w:lineRule="auto"/>
      </w:pPr>
      <w:r>
        <w:t>I understand that implementation burden is real. Small clinics, rural providers, community health centers, public agencies, and human service programs need guidance, technical assistance, procurement support, and resources. Accessibility should not become another unsupported mandate. But disabled people should not continue carrying the cost of inaccessible systems while institutions are given more time.</w:t>
      </w:r>
    </w:p>
    <w:p w14:paraId="422CAE09" w14:textId="77777777" w:rsidR="008A4AFF" w:rsidRDefault="00614C3D">
      <w:pPr>
        <w:spacing w:after="200" w:line="276" w:lineRule="auto"/>
      </w:pPr>
      <w:r>
        <w:t>Like the National Federation of the Blind, I urge HHS to reconsider the delay and move accessibility protections forward. If HHS does not reverse course, any implementation period must be an active protection period, not a waiting period: existing Section 504 obligations must remain in force, accessible alternatives must be available immediately, technical assistance must support compliance without weakening disabled people's rights, federal dollars must not keep purchasing inaccessible technology, public m</w:t>
      </w:r>
      <w:r>
        <w:t>ilestones must show progress, and blind and disabled people must be included in implementation, testing, monitoring, and evaluation.</w:t>
      </w:r>
    </w:p>
    <w:p w14:paraId="471D6822" w14:textId="77777777" w:rsidR="008A4AFF" w:rsidRDefault="00614C3D">
      <w:pPr>
        <w:spacing w:after="200" w:line="276" w:lineRule="auto"/>
      </w:pPr>
      <w:r>
        <w:t>Your Department has spoken consistently about prevention, root causes, informed decision-making, and restoring trust in health institutions. Accessibility belongs squarely in that work. People cannot make informed health decisions when they cannot independently access the information. Prevention fails when the digital front door of care is closed. Trust erodes when disabled people must fight for basic privacy, autonomy, and communication. And families cannot protect their own health, as you have so often em</w:t>
      </w:r>
      <w:r>
        <w:t>phasized they should be able to do, when the systems meant to serve them exclude a parent, a patient, or a child by design.</w:t>
      </w:r>
    </w:p>
    <w:p w14:paraId="4E30CA86" w14:textId="77777777" w:rsidR="008A4AFF" w:rsidRDefault="00614C3D">
      <w:pPr>
        <w:spacing w:after="200" w:line="276" w:lineRule="auto"/>
      </w:pPr>
      <w:r>
        <w:t>Disability does not sort by party. Blind and disabled people live in every state, every district, every demographic, and every political coalition. Accessibility protects privacy. It supports family independence. It reduces unnecessary dependence on government and on strangers. It makes federal spending more efficient. It strengthens trust in health institutions. It makes prevention possible for people who are currently blocked from care, benefits, and emergency information. There is no version of restoring</w:t>
      </w:r>
      <w:r>
        <w:t xml:space="preserve"> public trust in health that excludes the people most reliant on the system working.</w:t>
      </w:r>
    </w:p>
    <w:p w14:paraId="40D65F48" w14:textId="77777777" w:rsidR="008A4AFF" w:rsidRDefault="00614C3D">
      <w:pPr>
        <w:spacing w:after="200" w:line="276" w:lineRule="auto"/>
      </w:pPr>
      <w:r>
        <w:t>Blind people are not asking for pity or special treatment. We are asking for access to the same systems everyone else is expected to use. We are asking HHS to count the burden of inaccessibility, not only the burden of compliance.</w:t>
      </w:r>
    </w:p>
    <w:p w14:paraId="7B121682" w14:textId="77777777" w:rsidR="008A4AFF" w:rsidRDefault="00614C3D">
      <w:pPr>
        <w:pBdr>
          <w:top w:val="single" w:sz="6" w:space="8" w:color="555555"/>
          <w:bottom w:val="single" w:sz="6" w:space="8" w:color="555555"/>
        </w:pBdr>
        <w:spacing w:before="240" w:after="240"/>
        <w:jc w:val="center"/>
      </w:pPr>
      <w:r>
        <w:rPr>
          <w:b/>
          <w:bCs/>
          <w:i/>
          <w:iCs/>
          <w:sz w:val="26"/>
          <w:szCs w:val="26"/>
        </w:rPr>
        <w:t>Accessibility is not charity. Accessibility is prevention. Accessibility is public health infrastructure.</w:t>
      </w:r>
    </w:p>
    <w:p w14:paraId="7FF672C2" w14:textId="77777777" w:rsidR="008A4AFF" w:rsidRDefault="00614C3D">
      <w:pPr>
        <w:spacing w:after="200" w:line="276" w:lineRule="auto"/>
      </w:pPr>
      <w:r>
        <w:t>Blindness is not the public health crisis. Ableism is. I respectfully ask HHS to act accordingly.</w:t>
      </w:r>
    </w:p>
    <w:p w14:paraId="2C9D6E25" w14:textId="77777777" w:rsidR="008A4AFF" w:rsidRDefault="00614C3D">
      <w:pPr>
        <w:spacing w:after="200" w:line="276" w:lineRule="auto"/>
      </w:pPr>
      <w:r>
        <w:t>Respectfully submitted,</w:t>
      </w:r>
    </w:p>
    <w:p w14:paraId="2E974A0C" w14:textId="77777777" w:rsidR="008A4AFF" w:rsidRDefault="008A4AFF"/>
    <w:p w14:paraId="7D008892" w14:textId="77777777" w:rsidR="008A4AFF" w:rsidRDefault="00614C3D">
      <w:pPr>
        <w:spacing w:after="200"/>
      </w:pPr>
      <w:r>
        <w:rPr>
          <w:i/>
          <w:iCs/>
        </w:rPr>
        <w:t>/s/ Laura Millar</w:t>
      </w:r>
    </w:p>
    <w:p w14:paraId="18843D8E" w14:textId="77777777" w:rsidR="008A4AFF" w:rsidRDefault="00614C3D">
      <w:pPr>
        <w:spacing w:after="60"/>
      </w:pPr>
      <w:r>
        <w:rPr>
          <w:b/>
          <w:bCs/>
        </w:rPr>
        <w:t>Laura Millar, MPH, M.A., MCHES (she/her)</w:t>
      </w:r>
    </w:p>
    <w:p w14:paraId="243A3572" w14:textId="77777777" w:rsidR="008A4AFF" w:rsidRDefault="00614C3D">
      <w:pPr>
        <w:spacing w:after="60"/>
      </w:pPr>
      <w:r>
        <w:rPr>
          <w:sz w:val="20"/>
          <w:szCs w:val="20"/>
        </w:rPr>
        <w:t>Blind public health professional, sociologist, sexuality educator,</w:t>
      </w:r>
    </w:p>
    <w:p w14:paraId="68212D7B" w14:textId="77777777" w:rsidR="008A4AFF" w:rsidRDefault="00614C3D">
      <w:pPr>
        <w:spacing w:after="60"/>
      </w:pPr>
      <w:r>
        <w:rPr>
          <w:sz w:val="20"/>
          <w:szCs w:val="20"/>
        </w:rPr>
        <w:t>consultant, coach, community organizer, and advocate</w:t>
      </w:r>
    </w:p>
    <w:p w14:paraId="5BDAA412" w14:textId="77777777" w:rsidR="008A4AFF" w:rsidRDefault="00614C3D">
      <w:pPr>
        <w:spacing w:after="60"/>
      </w:pPr>
      <w:r>
        <w:rPr>
          <w:sz w:val="20"/>
          <w:szCs w:val="20"/>
        </w:rPr>
        <w:t>Second Vice President, National Federation of the Blind of San Francisco Chapter</w:t>
      </w:r>
    </w:p>
    <w:p w14:paraId="6DD51EF4" w14:textId="77777777" w:rsidR="008A4AFF" w:rsidRDefault="00614C3D">
      <w:pPr>
        <w:spacing w:after="60"/>
      </w:pPr>
      <w:r>
        <w:rPr>
          <w:sz w:val="20"/>
          <w:szCs w:val="20"/>
        </w:rPr>
        <w:t>Board Member, National Federation of the Blind of California</w:t>
      </w:r>
    </w:p>
    <w:p w14:paraId="24115D5F" w14:textId="77777777" w:rsidR="008A4AFF" w:rsidRDefault="00614C3D">
      <w:pPr>
        <w:spacing w:after="60"/>
      </w:pPr>
      <w:r>
        <w:rPr>
          <w:sz w:val="20"/>
          <w:szCs w:val="20"/>
        </w:rPr>
        <w:t>Oakland, California</w:t>
      </w:r>
    </w:p>
    <w:p w14:paraId="4937BA30" w14:textId="77777777" w:rsidR="008A4AFF" w:rsidRDefault="00614C3D">
      <w:pPr>
        <w:spacing w:after="60"/>
      </w:pPr>
      <w:r>
        <w:rPr>
          <w:sz w:val="20"/>
          <w:szCs w:val="20"/>
        </w:rPr>
        <w:t>www.lauramillar.com</w:t>
      </w:r>
    </w:p>
    <w:sectPr w:rsidR="008A4AFF">
      <w:footerReference w:type="default" r:id="rId7"/>
      <w:pgSz w:w="12240" w:h="15840"/>
      <w:pgMar w:top="1440" w:right="1440" w:bottom="1440" w:left="144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B4134C" w14:textId="77777777" w:rsidR="00614C3D" w:rsidRDefault="00614C3D">
      <w:r>
        <w:separator/>
      </w:r>
    </w:p>
  </w:endnote>
  <w:endnote w:type="continuationSeparator" w:id="0">
    <w:p w14:paraId="429A67F9" w14:textId="77777777" w:rsidR="00614C3D" w:rsidRDefault="00614C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Georgia">
    <w:panose1 w:val="02040502050405020303"/>
    <w:charset w:val="00"/>
    <w:family w:val="roman"/>
    <w:pitch w:val="variable"/>
    <w:sig w:usb0="00000287" w:usb1="00000000" w:usb2="00000000" w:usb3="00000000" w:csb0="0000009F" w:csb1="00000000"/>
  </w:font>
  <w:font w:name="Times New Roman">
    <w:panose1 w:val="02020603050405020304"/>
    <w:charset w:val="00"/>
    <w:family w:val="roman"/>
    <w:pitch w:val="variable"/>
    <w:sig w:usb0="00000003" w:usb1="00000000" w:usb2="00000000" w:usb3="00000000" w:csb0="00000001" w:csb1="00000000"/>
  </w:font>
  <w:font w:name="Calibri Light">
    <w:panose1 w:val="020F0302020204030204"/>
    <w:charset w:val="00"/>
    <w:family w:val="modern"/>
    <w:pitch w:val="variable"/>
    <w:sig w:usb0="00000003" w:usb1="00000000" w:usb2="00000000" w:usb3="00000000" w:csb0="00000001" w:csb1="00000000"/>
  </w:font>
  <w:font w:name="Calibri">
    <w:panose1 w:val="020F0502020204030204"/>
    <w:charset w:val="00"/>
    <w:family w:val="moder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D381CB" w14:textId="77777777" w:rsidR="008A4AFF" w:rsidRDefault="00614C3D">
    <w:pPr>
      <w:jc w:val="center"/>
    </w:pPr>
    <w:r>
      <w:rPr>
        <w:color w:val="666666"/>
        <w:sz w:val="18"/>
        <w:szCs w:val="18"/>
      </w:rPr>
      <w:t xml:space="preserve">Laura Millar, MPH, M.A., MCHES  |  Page </w:t>
    </w:r>
    <w:r>
      <w:rPr>
        <w:color w:val="666666"/>
        <w:sz w:val="18"/>
        <w:szCs w:val="18"/>
      </w:rPr>
      <w:fldChar w:fldCharType="begin"/>
    </w:r>
    <w:r>
      <w:rPr>
        <w:color w:val="666666"/>
        <w:sz w:val="18"/>
        <w:szCs w:val="18"/>
      </w:rPr>
      <w:instrText>PAGE</w:instrText>
    </w:r>
    <w:r>
      <w:rPr>
        <w:color w:val="666666"/>
        <w:sz w:val="18"/>
        <w:szCs w:val="18"/>
      </w:rPr>
      <w:fldChar w:fldCharType="separate"/>
    </w:r>
    <w:r>
      <w:rPr>
        <w:color w:val="666666"/>
        <w:sz w:val="18"/>
        <w:szCs w:val="18"/>
      </w:rPr>
      <w:fldChar w:fldCharType="end"/>
    </w:r>
    <w:r>
      <w:rPr>
        <w:color w:val="666666"/>
        <w:sz w:val="18"/>
        <w:szCs w:val="18"/>
      </w:rPr>
      <w:t xml:space="preserve"> of </w:t>
    </w:r>
    <w:r>
      <w:rPr>
        <w:color w:val="666666"/>
        <w:sz w:val="18"/>
        <w:szCs w:val="18"/>
      </w:rPr>
      <w:fldChar w:fldCharType="begin"/>
    </w:r>
    <w:r>
      <w:rPr>
        <w:color w:val="666666"/>
        <w:sz w:val="18"/>
        <w:szCs w:val="18"/>
      </w:rPr>
      <w:instrText>NUMPAGES</w:instrText>
    </w:r>
    <w:r>
      <w:rPr>
        <w:color w:val="666666"/>
        <w:sz w:val="18"/>
        <w:szCs w:val="18"/>
      </w:rPr>
      <w:fldChar w:fldCharType="separate"/>
    </w:r>
    <w:r>
      <w:rPr>
        <w:color w:val="666666"/>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1583DC" w14:textId="77777777" w:rsidR="00614C3D" w:rsidRDefault="00614C3D">
      <w:r>
        <w:separator/>
      </w:r>
    </w:p>
  </w:footnote>
  <w:footnote w:type="continuationSeparator" w:id="0">
    <w:p w14:paraId="7F6C9B9E" w14:textId="77777777" w:rsidR="00614C3D" w:rsidRDefault="00614C3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BFE4366"/>
    <w:multiLevelType w:val="hybridMultilevel"/>
    <w:tmpl w:val="FFFFFFFF"/>
    <w:lvl w:ilvl="0" w:tplc="C518B1FA">
      <w:start w:val="1"/>
      <w:numFmt w:val="bullet"/>
      <w:lvlText w:val="●"/>
      <w:lvlJc w:val="left"/>
      <w:pPr>
        <w:ind w:left="720" w:hanging="360"/>
      </w:pPr>
    </w:lvl>
    <w:lvl w:ilvl="1" w:tplc="77BAA45E">
      <w:start w:val="1"/>
      <w:numFmt w:val="bullet"/>
      <w:lvlText w:val="○"/>
      <w:lvlJc w:val="left"/>
      <w:pPr>
        <w:ind w:left="1440" w:hanging="360"/>
      </w:pPr>
    </w:lvl>
    <w:lvl w:ilvl="2" w:tplc="2F123EEA">
      <w:start w:val="1"/>
      <w:numFmt w:val="bullet"/>
      <w:lvlText w:val="■"/>
      <w:lvlJc w:val="left"/>
      <w:pPr>
        <w:ind w:left="2160" w:hanging="360"/>
      </w:pPr>
    </w:lvl>
    <w:lvl w:ilvl="3" w:tplc="E2CC2B6A">
      <w:start w:val="1"/>
      <w:numFmt w:val="bullet"/>
      <w:lvlText w:val="●"/>
      <w:lvlJc w:val="left"/>
      <w:pPr>
        <w:ind w:left="2880" w:hanging="360"/>
      </w:pPr>
    </w:lvl>
    <w:lvl w:ilvl="4" w:tplc="0C3CA3B0">
      <w:start w:val="1"/>
      <w:numFmt w:val="bullet"/>
      <w:lvlText w:val="○"/>
      <w:lvlJc w:val="left"/>
      <w:pPr>
        <w:ind w:left="3600" w:hanging="360"/>
      </w:pPr>
    </w:lvl>
    <w:lvl w:ilvl="5" w:tplc="3B3AA7B6">
      <w:start w:val="1"/>
      <w:numFmt w:val="bullet"/>
      <w:lvlText w:val="■"/>
      <w:lvlJc w:val="left"/>
      <w:pPr>
        <w:ind w:left="4320" w:hanging="360"/>
      </w:pPr>
    </w:lvl>
    <w:lvl w:ilvl="6" w:tplc="8E106878">
      <w:start w:val="1"/>
      <w:numFmt w:val="bullet"/>
      <w:lvlText w:val="●"/>
      <w:lvlJc w:val="left"/>
      <w:pPr>
        <w:ind w:left="5040" w:hanging="360"/>
      </w:pPr>
    </w:lvl>
    <w:lvl w:ilvl="7" w:tplc="50A2AC28">
      <w:start w:val="1"/>
      <w:numFmt w:val="bullet"/>
      <w:lvlText w:val="●"/>
      <w:lvlJc w:val="left"/>
      <w:pPr>
        <w:ind w:left="5760" w:hanging="360"/>
      </w:pPr>
    </w:lvl>
    <w:lvl w:ilvl="8" w:tplc="266423FC">
      <w:start w:val="1"/>
      <w:numFmt w:val="bullet"/>
      <w:lvlText w:val="●"/>
      <w:lvlJc w:val="left"/>
      <w:pPr>
        <w:ind w:left="6480" w:hanging="360"/>
      </w:pPr>
    </w:lvl>
  </w:abstractNum>
  <w:num w:numId="1" w16cid:durableId="196161336">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200"/>
  <w:displayBackgroundShape/>
  <w:revisionView w:inkAnnotation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A4AFF"/>
    <w:rsid w:val="00614C3D"/>
    <w:rsid w:val="008A4AFF"/>
    <w:rsid w:val="00B64E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2AAC27C"/>
  <w15:docId w15:val="{4F6A1F13-416C-E34A-A669-712A1E95FE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Georgia" w:eastAsia="Georgia" w:hAnsi="Georgia" w:cs="Georgia"/>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1288</Words>
  <Characters>7348</Characters>
  <Application>Microsoft Office Word</Application>
  <DocSecurity>0</DocSecurity>
  <Lines>61</Lines>
  <Paragraphs>17</Paragraphs>
  <ScaleCrop>false</ScaleCrop>
  <Company/>
  <LinksUpToDate>false</LinksUpToDate>
  <CharactersWithSpaces>8619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Public Comment to Secretary Kennedy on Section 504 Delay</dc:title>
  <dc:creator>Laura Millar</dc:creator>
  <dc:description>Public comment on RIN 0945-AA30, Docket No. HHS-OCR-2026-0133</dc:description>
  <cp:lastModifiedBy>Laura Millar</cp:lastModifiedBy>
  <cp:revision>2</cp:revision>
  <dcterms:created xsi:type="dcterms:W3CDTF">2026-05-21T17:19:00Z</dcterms:created>
  <dcterms:modified xsi:type="dcterms:W3CDTF">2026-05-21T17:19:00Z</dcterms:modified>
</cp:coreProperties>
</file>